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01" w:rsidRDefault="0062139F" w:rsidP="0062139F">
      <w:pPr>
        <w:bidi/>
        <w:rPr>
          <w:b/>
          <w:bCs/>
          <w:sz w:val="32"/>
          <w:szCs w:val="32"/>
        </w:rPr>
      </w:pPr>
      <w:r w:rsidRPr="00097201">
        <w:rPr>
          <w:b/>
          <w:bCs/>
          <w:sz w:val="36"/>
          <w:szCs w:val="36"/>
          <w:rtl/>
        </w:rPr>
        <w:t>וקאמר</w:t>
      </w:r>
      <w:r w:rsidR="00097201">
        <w:rPr>
          <w:rFonts w:hint="cs"/>
          <w:b/>
          <w:bCs/>
          <w:sz w:val="28"/>
          <w:szCs w:val="28"/>
          <w:rtl/>
        </w:rPr>
        <w:t xml:space="preserve"> </w:t>
      </w:r>
      <w:r w:rsidRPr="00097201">
        <w:rPr>
          <w:b/>
          <w:bCs/>
          <w:sz w:val="32"/>
          <w:szCs w:val="32"/>
          <w:rtl/>
        </w:rPr>
        <w:t>דלית בה דין חלוקה כלל</w:t>
      </w:r>
      <w:r w:rsidR="00097201">
        <w:rPr>
          <w:rFonts w:hint="cs"/>
          <w:b/>
          <w:bCs/>
          <w:sz w:val="32"/>
          <w:szCs w:val="32"/>
          <w:rtl/>
        </w:rPr>
        <w:t xml:space="preserve"> </w:t>
      </w:r>
      <w:r w:rsidR="008B7C8E">
        <w:rPr>
          <w:b/>
          <w:bCs/>
          <w:sz w:val="32"/>
          <w:szCs w:val="32"/>
          <w:rtl/>
        </w:rPr>
        <w:t>–</w:t>
      </w:r>
    </w:p>
    <w:p w:rsidR="008B7C8E" w:rsidRPr="008B7C8E" w:rsidRDefault="008B7C8E" w:rsidP="008B7C8E">
      <w:pPr>
        <w:rPr>
          <w:sz w:val="28"/>
          <w:szCs w:val="28"/>
          <w:rtl/>
        </w:rPr>
      </w:pPr>
      <w:r w:rsidRPr="00097201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And he states; there is no rule of</w:t>
      </w:r>
      <w:r w:rsidRPr="008B7C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exchanging at all</w:t>
      </w:r>
    </w:p>
    <w:p w:rsidR="00097201" w:rsidRDefault="00097201" w:rsidP="00097201">
      <w:pPr>
        <w:bidi/>
        <w:rPr>
          <w:sz w:val="24"/>
          <w:szCs w:val="24"/>
          <w:rtl/>
        </w:rPr>
      </w:pPr>
    </w:p>
    <w:p w:rsidR="00097201" w:rsidRPr="00097201" w:rsidRDefault="00097201" w:rsidP="00097201">
      <w:pPr>
        <w:rPr>
          <w:rFonts w:ascii="Aharoni" w:hAnsi="Aharoni" w:cs="Aharoni"/>
          <w:bCs/>
          <w:sz w:val="28"/>
          <w:szCs w:val="28"/>
          <w:u w:val="double"/>
        </w:rPr>
      </w:pPr>
      <w:r w:rsidRPr="00097201">
        <w:rPr>
          <w:rFonts w:ascii="Aharoni" w:hAnsi="Aharoni" w:cs="Aharoni"/>
          <w:bCs/>
          <w:sz w:val="28"/>
          <w:szCs w:val="28"/>
          <w:u w:val="double"/>
        </w:rPr>
        <w:t>Overview</w:t>
      </w:r>
    </w:p>
    <w:p w:rsidR="00097201" w:rsidRPr="00097201" w:rsidRDefault="008B7C8E" w:rsidP="0009720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אביי</w:t>
      </w:r>
      <w:r>
        <w:rPr>
          <w:sz w:val="28"/>
          <w:szCs w:val="28"/>
        </w:rPr>
        <w:t xml:space="preserve"> proved that since the </w:t>
      </w:r>
      <w:r>
        <w:rPr>
          <w:rFonts w:hint="cs"/>
          <w:sz w:val="28"/>
          <w:szCs w:val="28"/>
          <w:rtl/>
        </w:rPr>
        <w:t>ברייתא</w:t>
      </w:r>
      <w:r>
        <w:rPr>
          <w:sz w:val="28"/>
          <w:szCs w:val="28"/>
        </w:rPr>
        <w:t xml:space="preserve"> (which is the statement of </w:t>
      </w:r>
      <w:r>
        <w:rPr>
          <w:rFonts w:hint="cs"/>
          <w:sz w:val="28"/>
          <w:szCs w:val="28"/>
          <w:rtl/>
        </w:rPr>
        <w:t>ר"י</w:t>
      </w:r>
      <w:r>
        <w:rPr>
          <w:sz w:val="28"/>
          <w:szCs w:val="28"/>
        </w:rPr>
        <w:t xml:space="preserve">) maintains that there are no exchanges by </w:t>
      </w:r>
      <w:r>
        <w:rPr>
          <w:rFonts w:hint="cs"/>
          <w:sz w:val="28"/>
          <w:szCs w:val="28"/>
          <w:rtl/>
        </w:rPr>
        <w:t>קדשים</w:t>
      </w:r>
      <w:r>
        <w:rPr>
          <w:sz w:val="28"/>
          <w:szCs w:val="28"/>
        </w:rPr>
        <w:t xml:space="preserve">, this proves that one cannot be </w:t>
      </w:r>
      <w:r>
        <w:rPr>
          <w:rFonts w:hint="cs"/>
          <w:sz w:val="28"/>
          <w:szCs w:val="28"/>
          <w:rtl/>
        </w:rPr>
        <w:t>מקדש</w:t>
      </w:r>
      <w:r>
        <w:rPr>
          <w:sz w:val="28"/>
          <w:szCs w:val="28"/>
        </w:rPr>
        <w:t xml:space="preserve"> a woman with his portion of </w:t>
      </w:r>
      <w:r>
        <w:rPr>
          <w:rFonts w:hint="cs"/>
          <w:sz w:val="28"/>
          <w:szCs w:val="28"/>
          <w:rtl/>
        </w:rPr>
        <w:t>קדשים</w:t>
      </w:r>
      <w:r>
        <w:rPr>
          <w:sz w:val="28"/>
          <w:szCs w:val="28"/>
        </w:rPr>
        <w:t xml:space="preserve"> since it does not belong to him.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clarifies the meaning of </w:t>
      </w:r>
      <w:r>
        <w:rPr>
          <w:rFonts w:hint="cs"/>
          <w:sz w:val="28"/>
          <w:szCs w:val="28"/>
          <w:rtl/>
        </w:rPr>
        <w:t>לית בה דין חלוקה כלל</w:t>
      </w:r>
      <w:r>
        <w:rPr>
          <w:sz w:val="28"/>
          <w:szCs w:val="28"/>
        </w:rPr>
        <w:t>.</w:t>
      </w:r>
    </w:p>
    <w:p w:rsidR="00097201" w:rsidRDefault="00AF286F" w:rsidP="00AF286F">
      <w:pPr>
        <w:bidi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</w:t>
      </w:r>
    </w:p>
    <w:p w:rsidR="00097201" w:rsidRPr="00AF286F" w:rsidRDefault="0062139F" w:rsidP="00097201">
      <w:pPr>
        <w:bidi/>
        <w:rPr>
          <w:rFonts w:ascii="David" w:hAnsi="David" w:cs="David"/>
          <w:b/>
          <w:bCs/>
          <w:sz w:val="28"/>
          <w:szCs w:val="28"/>
        </w:rPr>
      </w:pPr>
      <w:r w:rsidRPr="00AF286F">
        <w:rPr>
          <w:rFonts w:ascii="David" w:hAnsi="David" w:cs="David"/>
          <w:b/>
          <w:bCs/>
          <w:sz w:val="28"/>
          <w:szCs w:val="28"/>
          <w:rtl/>
        </w:rPr>
        <w:t>פירוש</w:t>
      </w:r>
      <w:r w:rsidR="008B7C8E" w:rsidRPr="00AF286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1"/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שאינו יכול ליטול ממון אחר של חבירו כדמפרש בברייתא</w:t>
      </w:r>
      <w:r w:rsidR="00D60E63" w:rsidRPr="00AF286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2"/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F286F">
        <w:rPr>
          <w:rFonts w:ascii="David" w:hAnsi="David" w:cs="David" w:hint="cs"/>
          <w:b/>
          <w:bCs/>
          <w:sz w:val="28"/>
          <w:szCs w:val="28"/>
          <w:rtl/>
        </w:rPr>
        <w:t>-</w:t>
      </w:r>
    </w:p>
    <w:p w:rsidR="008B7C8E" w:rsidRDefault="008B7C8E" w:rsidP="008B7C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explanation of </w:t>
      </w:r>
      <w:r>
        <w:rPr>
          <w:rFonts w:hint="cs"/>
          <w:sz w:val="28"/>
          <w:szCs w:val="28"/>
          <w:rtl/>
        </w:rPr>
        <w:t>לית בה דין חלוקה כלל</w:t>
      </w:r>
      <w:r>
        <w:rPr>
          <w:sz w:val="28"/>
          <w:szCs w:val="28"/>
        </w:rPr>
        <w:t xml:space="preserve"> is </w:t>
      </w:r>
      <w:r>
        <w:rPr>
          <w:b/>
          <w:bCs/>
          <w:sz w:val="28"/>
          <w:szCs w:val="28"/>
        </w:rPr>
        <w:t xml:space="preserve">that </w:t>
      </w:r>
      <w:r>
        <w:rPr>
          <w:sz w:val="28"/>
          <w:szCs w:val="28"/>
        </w:rPr>
        <w:t xml:space="preserve">one </w:t>
      </w:r>
      <w:r>
        <w:rPr>
          <w:rFonts w:hint="cs"/>
          <w:sz w:val="28"/>
          <w:szCs w:val="28"/>
          <w:rtl/>
        </w:rPr>
        <w:t>כהן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cannot take</w:t>
      </w:r>
      <w:r w:rsidR="00D60E63">
        <w:rPr>
          <w:b/>
          <w:bCs/>
          <w:sz w:val="28"/>
          <w:szCs w:val="28"/>
        </w:rPr>
        <w:t xml:space="preserve"> his friend’s money </w:t>
      </w:r>
      <w:r w:rsidR="00D60E63">
        <w:rPr>
          <w:sz w:val="28"/>
          <w:szCs w:val="28"/>
        </w:rPr>
        <w:t xml:space="preserve">(his portion in a different </w:t>
      </w:r>
      <w:r w:rsidR="00D60E63">
        <w:rPr>
          <w:rFonts w:hint="cs"/>
          <w:sz w:val="28"/>
          <w:szCs w:val="28"/>
          <w:rtl/>
        </w:rPr>
        <w:t>קרבן</w:t>
      </w:r>
      <w:r w:rsidR="00D60E63">
        <w:rPr>
          <w:sz w:val="28"/>
          <w:szCs w:val="28"/>
        </w:rPr>
        <w:t xml:space="preserve">), </w:t>
      </w:r>
      <w:r w:rsidR="00D60E63">
        <w:rPr>
          <w:b/>
          <w:bCs/>
          <w:sz w:val="28"/>
          <w:szCs w:val="28"/>
        </w:rPr>
        <w:t xml:space="preserve">as the </w:t>
      </w:r>
      <w:r w:rsidR="00D60E63">
        <w:rPr>
          <w:rFonts w:hint="cs"/>
          <w:b/>
          <w:bCs/>
          <w:sz w:val="28"/>
          <w:szCs w:val="28"/>
          <w:rtl/>
        </w:rPr>
        <w:t>ברייתא</w:t>
      </w:r>
      <w:r w:rsidR="00D60E63">
        <w:rPr>
          <w:b/>
          <w:bCs/>
          <w:sz w:val="28"/>
          <w:szCs w:val="28"/>
        </w:rPr>
        <w:t xml:space="preserve"> explains.</w:t>
      </w:r>
    </w:p>
    <w:p w:rsidR="00D60E63" w:rsidRPr="00AF286F" w:rsidRDefault="00D60E63" w:rsidP="008B7C8E">
      <w:pPr>
        <w:rPr>
          <w:b/>
          <w:bCs/>
          <w:sz w:val="24"/>
          <w:szCs w:val="24"/>
        </w:rPr>
      </w:pPr>
    </w:p>
    <w:p w:rsidR="00D60E63" w:rsidRPr="00AF286F" w:rsidRDefault="00D60E63" w:rsidP="008B7C8E">
      <w:pPr>
        <w:rPr>
          <w:sz w:val="24"/>
          <w:szCs w:val="24"/>
        </w:rPr>
      </w:pPr>
      <w:r w:rsidRPr="00AF286F">
        <w:rPr>
          <w:rFonts w:hint="cs"/>
          <w:sz w:val="24"/>
          <w:szCs w:val="24"/>
          <w:rtl/>
        </w:rPr>
        <w:t>תוספות</w:t>
      </w:r>
      <w:r w:rsidRPr="00AF286F">
        <w:rPr>
          <w:sz w:val="24"/>
          <w:szCs w:val="24"/>
        </w:rPr>
        <w:t xml:space="preserve"> rejects an alternate explanation:</w:t>
      </w:r>
    </w:p>
    <w:p w:rsidR="00097201" w:rsidRPr="00AF286F" w:rsidRDefault="0062139F" w:rsidP="00097201">
      <w:pPr>
        <w:bidi/>
        <w:rPr>
          <w:rFonts w:ascii="David" w:hAnsi="David" w:cs="David"/>
          <w:b/>
          <w:bCs/>
          <w:sz w:val="28"/>
          <w:szCs w:val="28"/>
        </w:rPr>
      </w:pPr>
      <w:r w:rsidRPr="00AF286F">
        <w:rPr>
          <w:rFonts w:ascii="David" w:hAnsi="David" w:cs="David"/>
          <w:b/>
          <w:bCs/>
          <w:sz w:val="28"/>
          <w:szCs w:val="28"/>
          <w:rtl/>
        </w:rPr>
        <w:t>אבל אין לפרש אין דין חלוקה כלל אפי</w:t>
      </w:r>
      <w:r w:rsidR="00097201" w:rsidRPr="00AF286F">
        <w:rPr>
          <w:rFonts w:ascii="David" w:hAnsi="David" w:cs="David"/>
          <w:b/>
          <w:bCs/>
          <w:sz w:val="28"/>
          <w:szCs w:val="28"/>
          <w:rtl/>
        </w:rPr>
        <w:t>לו</w:t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מיניה וביה</w:t>
      </w:r>
      <w:r w:rsidR="00D60E63" w:rsidRPr="00AF286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3"/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F286F">
        <w:rPr>
          <w:rFonts w:ascii="David" w:hAnsi="David" w:cs="David"/>
          <w:b/>
          <w:bCs/>
          <w:sz w:val="28"/>
          <w:szCs w:val="28"/>
        </w:rPr>
        <w:t>-</w:t>
      </w:r>
    </w:p>
    <w:p w:rsidR="00D60E63" w:rsidRPr="00D60E63" w:rsidRDefault="00D60E63" w:rsidP="00D60E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However we cannot explain </w:t>
      </w:r>
      <w:r>
        <w:rPr>
          <w:rFonts w:hint="cs"/>
          <w:b/>
          <w:bCs/>
          <w:sz w:val="28"/>
          <w:szCs w:val="28"/>
          <w:rtl/>
        </w:rPr>
        <w:t>אין דין חלוקה כלל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to mean that there is no equal division </w:t>
      </w:r>
      <w:r>
        <w:rPr>
          <w:b/>
          <w:bCs/>
          <w:sz w:val="28"/>
          <w:szCs w:val="28"/>
        </w:rPr>
        <w:t xml:space="preserve">even in the same </w:t>
      </w:r>
      <w:r>
        <w:rPr>
          <w:rFonts w:hint="cs"/>
          <w:sz w:val="28"/>
          <w:szCs w:val="28"/>
          <w:rtl/>
        </w:rPr>
        <w:t>קרבן</w:t>
      </w:r>
      <w:r>
        <w:rPr>
          <w:sz w:val="28"/>
          <w:szCs w:val="28"/>
        </w:rPr>
        <w:t xml:space="preserve"> </w:t>
      </w:r>
      <w:r w:rsidRPr="00AF286F">
        <w:rPr>
          <w:b/>
          <w:bCs/>
          <w:sz w:val="28"/>
          <w:szCs w:val="28"/>
        </w:rPr>
        <w:t>itself</w:t>
      </w:r>
      <w:r>
        <w:rPr>
          <w:sz w:val="28"/>
          <w:szCs w:val="28"/>
        </w:rPr>
        <w:t xml:space="preserve"> -</w:t>
      </w:r>
    </w:p>
    <w:p w:rsidR="0056656E" w:rsidRPr="00AF286F" w:rsidRDefault="0062139F" w:rsidP="00097201">
      <w:pPr>
        <w:bidi/>
        <w:rPr>
          <w:rFonts w:ascii="David" w:hAnsi="David" w:cs="David"/>
          <w:b/>
          <w:bCs/>
          <w:sz w:val="28"/>
          <w:szCs w:val="28"/>
        </w:rPr>
      </w:pP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דהא אשכחן בכמה דוכתין חלוקה גבי קדשים </w:t>
      </w:r>
      <w:r w:rsidR="00AF286F">
        <w:rPr>
          <w:rFonts w:ascii="David" w:hAnsi="David" w:cs="David"/>
          <w:b/>
          <w:bCs/>
          <w:sz w:val="28"/>
          <w:szCs w:val="28"/>
        </w:rPr>
        <w:t>-</w:t>
      </w:r>
    </w:p>
    <w:p w:rsidR="00B37E48" w:rsidRPr="00B37E48" w:rsidRDefault="00B37E48" w:rsidP="00B37E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we find in many places </w:t>
      </w:r>
      <w:r>
        <w:rPr>
          <w:sz w:val="28"/>
          <w:szCs w:val="28"/>
        </w:rPr>
        <w:t xml:space="preserve">that there is a proper </w:t>
      </w:r>
      <w:r>
        <w:rPr>
          <w:b/>
          <w:bCs/>
          <w:sz w:val="28"/>
          <w:szCs w:val="28"/>
        </w:rPr>
        <w:t xml:space="preserve">division by </w:t>
      </w:r>
      <w:r>
        <w:rPr>
          <w:rFonts w:hint="cs"/>
          <w:b/>
          <w:bCs/>
          <w:sz w:val="28"/>
          <w:szCs w:val="28"/>
          <w:rtl/>
        </w:rPr>
        <w:t>קדשים</w:t>
      </w:r>
      <w:r>
        <w:rPr>
          <w:b/>
          <w:bCs/>
          <w:sz w:val="28"/>
          <w:szCs w:val="28"/>
        </w:rPr>
        <w:t xml:space="preserve"> -</w:t>
      </w:r>
    </w:p>
    <w:p w:rsidR="008B7C8E" w:rsidRPr="00AF286F" w:rsidRDefault="0062139F" w:rsidP="0056656E">
      <w:pPr>
        <w:bidi/>
        <w:rPr>
          <w:rFonts w:ascii="David" w:hAnsi="David" w:cs="David"/>
          <w:b/>
          <w:bCs/>
          <w:sz w:val="28"/>
          <w:szCs w:val="28"/>
        </w:rPr>
      </w:pP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כדתנן פרק שואל </w:t>
      </w:r>
      <w:r w:rsidRPr="00AF286F">
        <w:rPr>
          <w:rFonts w:ascii="David" w:hAnsi="David" w:cs="David"/>
          <w:b/>
          <w:bCs/>
          <w:rtl/>
        </w:rPr>
        <w:t xml:space="preserve">(שבת דף </w:t>
      </w:r>
      <w:proofErr w:type="spellStart"/>
      <w:r w:rsidRPr="00AF286F">
        <w:rPr>
          <w:rFonts w:ascii="David" w:hAnsi="David" w:cs="David"/>
          <w:b/>
          <w:bCs/>
          <w:rtl/>
        </w:rPr>
        <w:t>קמח</w:t>
      </w:r>
      <w:r w:rsidR="00097201" w:rsidRPr="00AF286F">
        <w:rPr>
          <w:rFonts w:ascii="David" w:hAnsi="David" w:cs="David"/>
          <w:b/>
          <w:bCs/>
          <w:rtl/>
        </w:rPr>
        <w:t>,ב</w:t>
      </w:r>
      <w:proofErr w:type="spellEnd"/>
      <w:r w:rsidRPr="00AF286F">
        <w:rPr>
          <w:rFonts w:ascii="David" w:hAnsi="David" w:cs="David"/>
          <w:b/>
          <w:bCs/>
          <w:rtl/>
        </w:rPr>
        <w:t>)</w:t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מטילין חלשים בקדשים</w:t>
      </w:r>
      <w:r w:rsidR="00952336" w:rsidRPr="00AF286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4"/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F286F">
        <w:rPr>
          <w:rFonts w:ascii="David" w:hAnsi="David" w:cs="David"/>
          <w:b/>
          <w:bCs/>
          <w:sz w:val="28"/>
          <w:szCs w:val="28"/>
        </w:rPr>
        <w:t>-</w:t>
      </w:r>
    </w:p>
    <w:p w:rsidR="00B37E48" w:rsidRDefault="00B37E48" w:rsidP="00B37E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the </w:t>
      </w:r>
      <w:r>
        <w:rPr>
          <w:rFonts w:hint="cs"/>
          <w:b/>
          <w:bCs/>
          <w:sz w:val="28"/>
          <w:szCs w:val="28"/>
          <w:rtl/>
        </w:rPr>
        <w:t>משנה</w:t>
      </w:r>
      <w:r>
        <w:rPr>
          <w:b/>
          <w:bCs/>
          <w:sz w:val="28"/>
          <w:szCs w:val="28"/>
        </w:rPr>
        <w:t xml:space="preserve"> states in </w:t>
      </w:r>
      <w:r>
        <w:rPr>
          <w:rFonts w:hint="cs"/>
          <w:b/>
          <w:bCs/>
          <w:sz w:val="28"/>
          <w:szCs w:val="28"/>
          <w:rtl/>
        </w:rPr>
        <w:t>פרק שואל</w:t>
      </w:r>
      <w:r>
        <w:rPr>
          <w:b/>
          <w:bCs/>
          <w:sz w:val="28"/>
          <w:szCs w:val="28"/>
        </w:rPr>
        <w:t xml:space="preserve"> we cast lots by </w:t>
      </w:r>
      <w:r>
        <w:rPr>
          <w:rFonts w:hint="cs"/>
          <w:b/>
          <w:bCs/>
          <w:sz w:val="28"/>
          <w:szCs w:val="28"/>
          <w:rtl/>
        </w:rPr>
        <w:t>קדשים</w:t>
      </w:r>
      <w:r>
        <w:rPr>
          <w:b/>
          <w:bCs/>
          <w:sz w:val="28"/>
          <w:szCs w:val="28"/>
        </w:rPr>
        <w:t xml:space="preserve"> -</w:t>
      </w:r>
    </w:p>
    <w:p w:rsidR="008B7C8E" w:rsidRPr="00AF286F" w:rsidRDefault="0062139F" w:rsidP="003B4713">
      <w:pPr>
        <w:widowControl w:val="0"/>
        <w:bidi/>
        <w:rPr>
          <w:rFonts w:ascii="David" w:hAnsi="David" w:cs="David"/>
          <w:b/>
          <w:bCs/>
          <w:sz w:val="28"/>
          <w:szCs w:val="28"/>
        </w:rPr>
      </w:pPr>
      <w:r w:rsidRPr="00AF286F">
        <w:rPr>
          <w:rFonts w:ascii="David" w:hAnsi="David" w:cs="David"/>
          <w:b/>
          <w:bCs/>
          <w:sz w:val="28"/>
          <w:szCs w:val="28"/>
          <w:rtl/>
        </w:rPr>
        <w:t>ובפ</w:t>
      </w:r>
      <w:r w:rsidR="008B7C8E" w:rsidRPr="00AF286F">
        <w:rPr>
          <w:rFonts w:ascii="David" w:hAnsi="David" w:cs="David"/>
          <w:b/>
          <w:bCs/>
          <w:sz w:val="28"/>
          <w:szCs w:val="28"/>
          <w:rtl/>
        </w:rPr>
        <w:t xml:space="preserve">רק </w:t>
      </w:r>
      <w:r w:rsidRPr="00AF286F">
        <w:rPr>
          <w:rFonts w:ascii="David" w:hAnsi="David" w:cs="David"/>
          <w:b/>
          <w:bCs/>
          <w:sz w:val="28"/>
          <w:szCs w:val="28"/>
          <w:rtl/>
        </w:rPr>
        <w:t>ק</w:t>
      </w:r>
      <w:r w:rsidR="008B7C8E" w:rsidRPr="00AF286F">
        <w:rPr>
          <w:rFonts w:ascii="David" w:hAnsi="David" w:cs="David"/>
          <w:b/>
          <w:bCs/>
          <w:sz w:val="28"/>
          <w:szCs w:val="28"/>
          <w:rtl/>
        </w:rPr>
        <w:t>מא</w:t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דפסחים </w:t>
      </w:r>
      <w:r w:rsidRPr="00AF286F">
        <w:rPr>
          <w:rFonts w:ascii="David" w:hAnsi="David" w:cs="David"/>
          <w:b/>
          <w:bCs/>
          <w:rtl/>
        </w:rPr>
        <w:t xml:space="preserve">(דף </w:t>
      </w:r>
      <w:proofErr w:type="spellStart"/>
      <w:r w:rsidRPr="00AF286F">
        <w:rPr>
          <w:rFonts w:ascii="David" w:hAnsi="David" w:cs="David"/>
          <w:b/>
          <w:bCs/>
          <w:rtl/>
        </w:rPr>
        <w:t>ג</w:t>
      </w:r>
      <w:r w:rsidR="008B7C8E" w:rsidRPr="00AF286F">
        <w:rPr>
          <w:rFonts w:ascii="David" w:hAnsi="David" w:cs="David"/>
          <w:b/>
          <w:bCs/>
          <w:rtl/>
        </w:rPr>
        <w:t>,ב</w:t>
      </w:r>
      <w:proofErr w:type="spellEnd"/>
      <w:r w:rsidRPr="00AF286F">
        <w:rPr>
          <w:rFonts w:ascii="David" w:hAnsi="David" w:cs="David"/>
          <w:b/>
          <w:bCs/>
          <w:rtl/>
        </w:rPr>
        <w:t>)</w:t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נמי הגיעני כפול</w:t>
      </w:r>
      <w:r w:rsidR="00952336" w:rsidRPr="00AF286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5"/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F286F">
        <w:rPr>
          <w:rFonts w:ascii="David" w:hAnsi="David" w:cs="David"/>
          <w:b/>
          <w:bCs/>
          <w:sz w:val="28"/>
          <w:szCs w:val="28"/>
        </w:rPr>
        <w:t>-</w:t>
      </w:r>
    </w:p>
    <w:p w:rsidR="00B37E48" w:rsidRDefault="00B37E48" w:rsidP="003B4713">
      <w:pPr>
        <w:widowControl w:val="0"/>
        <w:rPr>
          <w:spacing w:val="-2"/>
          <w:sz w:val="24"/>
          <w:szCs w:val="24"/>
        </w:rPr>
      </w:pPr>
      <w:r>
        <w:rPr>
          <w:b/>
          <w:bCs/>
          <w:sz w:val="28"/>
          <w:szCs w:val="28"/>
        </w:rPr>
        <w:t xml:space="preserve">And in the first </w:t>
      </w:r>
      <w:r>
        <w:rPr>
          <w:rFonts w:hint="cs"/>
          <w:b/>
          <w:bCs/>
          <w:sz w:val="28"/>
          <w:szCs w:val="28"/>
          <w:rtl/>
        </w:rPr>
        <w:t>פרק</w:t>
      </w:r>
      <w:r>
        <w:rPr>
          <w:b/>
          <w:bCs/>
          <w:sz w:val="28"/>
          <w:szCs w:val="28"/>
        </w:rPr>
        <w:t xml:space="preserve"> of </w:t>
      </w:r>
      <w:r>
        <w:rPr>
          <w:rFonts w:hint="cs"/>
          <w:b/>
          <w:bCs/>
          <w:sz w:val="28"/>
          <w:szCs w:val="28"/>
          <w:rtl/>
        </w:rPr>
        <w:t>פסחים</w:t>
      </w:r>
      <w:r>
        <w:rPr>
          <w:b/>
          <w:bCs/>
          <w:sz w:val="28"/>
          <w:szCs w:val="28"/>
        </w:rPr>
        <w:t xml:space="preserve"> it also </w:t>
      </w:r>
      <w:r>
        <w:rPr>
          <w:sz w:val="28"/>
          <w:szCs w:val="28"/>
        </w:rPr>
        <w:t xml:space="preserve">states that a </w:t>
      </w:r>
      <w:r>
        <w:rPr>
          <w:rFonts w:hint="cs"/>
          <w:sz w:val="28"/>
          <w:szCs w:val="28"/>
          <w:rtl/>
        </w:rPr>
        <w:t>כהן</w:t>
      </w:r>
      <w:r>
        <w:rPr>
          <w:sz w:val="28"/>
          <w:szCs w:val="28"/>
        </w:rPr>
        <w:t xml:space="preserve"> said</w:t>
      </w:r>
      <w:r w:rsidR="00952336">
        <w:rPr>
          <w:sz w:val="28"/>
          <w:szCs w:val="28"/>
        </w:rPr>
        <w:t>, ‘</w:t>
      </w:r>
      <w:r w:rsidR="00952336">
        <w:rPr>
          <w:b/>
          <w:bCs/>
          <w:sz w:val="28"/>
          <w:szCs w:val="28"/>
        </w:rPr>
        <w:t xml:space="preserve">I received </w:t>
      </w:r>
      <w:r w:rsidR="00952336">
        <w:rPr>
          <w:sz w:val="28"/>
          <w:szCs w:val="28"/>
        </w:rPr>
        <w:t xml:space="preserve">from the </w:t>
      </w:r>
      <w:r w:rsidR="00952336">
        <w:rPr>
          <w:rFonts w:hint="cs"/>
          <w:sz w:val="28"/>
          <w:szCs w:val="28"/>
          <w:rtl/>
        </w:rPr>
        <w:t>לחם הפנים</w:t>
      </w:r>
      <w:r w:rsidR="00952336">
        <w:rPr>
          <w:sz w:val="28"/>
          <w:szCs w:val="28"/>
        </w:rPr>
        <w:t xml:space="preserve"> an amount </w:t>
      </w:r>
      <w:r w:rsidR="00952336">
        <w:rPr>
          <w:b/>
          <w:bCs/>
          <w:sz w:val="28"/>
          <w:szCs w:val="28"/>
        </w:rPr>
        <w:t xml:space="preserve">like </w:t>
      </w:r>
      <w:r w:rsidR="003B4713">
        <w:rPr>
          <w:sz w:val="28"/>
          <w:szCs w:val="28"/>
        </w:rPr>
        <w:t xml:space="preserve">the size of </w:t>
      </w:r>
      <w:r w:rsidR="00952336">
        <w:rPr>
          <w:b/>
          <w:bCs/>
          <w:sz w:val="28"/>
          <w:szCs w:val="28"/>
        </w:rPr>
        <w:t>a bean</w:t>
      </w:r>
      <w:r w:rsidR="00952336" w:rsidRPr="00D1368B">
        <w:rPr>
          <w:b/>
          <w:bCs/>
          <w:spacing w:val="-2"/>
          <w:sz w:val="24"/>
          <w:szCs w:val="24"/>
        </w:rPr>
        <w:t>.</w:t>
      </w:r>
      <w:r w:rsidR="00D1368B" w:rsidRPr="00D1368B">
        <w:rPr>
          <w:b/>
          <w:bCs/>
          <w:spacing w:val="-2"/>
          <w:sz w:val="24"/>
          <w:szCs w:val="24"/>
        </w:rPr>
        <w:t xml:space="preserve"> </w:t>
      </w:r>
      <w:r w:rsidR="00D1368B" w:rsidRPr="00D1368B">
        <w:rPr>
          <w:spacing w:val="-2"/>
          <w:sz w:val="24"/>
          <w:szCs w:val="24"/>
        </w:rPr>
        <w:t xml:space="preserve">From these </w:t>
      </w:r>
      <w:r w:rsidR="00D1368B" w:rsidRPr="00D1368B">
        <w:rPr>
          <w:rFonts w:hint="cs"/>
          <w:spacing w:val="-2"/>
          <w:sz w:val="24"/>
          <w:szCs w:val="24"/>
          <w:rtl/>
        </w:rPr>
        <w:t>גמרות</w:t>
      </w:r>
      <w:r w:rsidR="00D1368B" w:rsidRPr="00D1368B">
        <w:rPr>
          <w:spacing w:val="-2"/>
          <w:sz w:val="24"/>
          <w:szCs w:val="24"/>
        </w:rPr>
        <w:t xml:space="preserve"> we see that there is a </w:t>
      </w:r>
      <w:r w:rsidR="00D1368B" w:rsidRPr="00D1368B">
        <w:rPr>
          <w:rFonts w:hint="cs"/>
          <w:spacing w:val="-2"/>
          <w:sz w:val="24"/>
          <w:szCs w:val="24"/>
          <w:rtl/>
        </w:rPr>
        <w:t xml:space="preserve">דין חלוקה </w:t>
      </w:r>
      <w:r w:rsidR="00D1368B" w:rsidRPr="00D1368B">
        <w:rPr>
          <w:rFonts w:hint="cs"/>
          <w:spacing w:val="-2"/>
          <w:sz w:val="24"/>
          <w:szCs w:val="24"/>
          <w:rtl/>
        </w:rPr>
        <w:lastRenderedPageBreak/>
        <w:t>בקדשים מיניה וביה</w:t>
      </w:r>
      <w:r w:rsidR="00D1368B" w:rsidRPr="00D1368B">
        <w:rPr>
          <w:spacing w:val="-2"/>
          <w:sz w:val="24"/>
          <w:szCs w:val="24"/>
        </w:rPr>
        <w:t>.</w:t>
      </w:r>
    </w:p>
    <w:p w:rsidR="003B4713" w:rsidRPr="00D1368B" w:rsidRDefault="003B4713" w:rsidP="003B4713">
      <w:pPr>
        <w:widowControl w:val="0"/>
        <w:rPr>
          <w:spacing w:val="-2"/>
          <w:sz w:val="24"/>
          <w:szCs w:val="24"/>
        </w:rPr>
      </w:pPr>
    </w:p>
    <w:p w:rsidR="00952336" w:rsidRPr="00AF286F" w:rsidRDefault="00952336" w:rsidP="003B4713">
      <w:pPr>
        <w:widowControl w:val="0"/>
        <w:rPr>
          <w:sz w:val="24"/>
          <w:szCs w:val="24"/>
        </w:rPr>
      </w:pPr>
      <w:r w:rsidRPr="00AF286F">
        <w:rPr>
          <w:rFonts w:hint="cs"/>
          <w:sz w:val="24"/>
          <w:szCs w:val="24"/>
          <w:rtl/>
        </w:rPr>
        <w:t>תוספות</w:t>
      </w:r>
      <w:r w:rsidRPr="00AF286F">
        <w:rPr>
          <w:sz w:val="24"/>
          <w:szCs w:val="24"/>
        </w:rPr>
        <w:t xml:space="preserve"> conclude</w:t>
      </w:r>
      <w:r w:rsidR="00094479" w:rsidRPr="00AF286F">
        <w:rPr>
          <w:sz w:val="24"/>
          <w:szCs w:val="24"/>
        </w:rPr>
        <w:t>d</w:t>
      </w:r>
      <w:r w:rsidRPr="00AF286F">
        <w:rPr>
          <w:sz w:val="24"/>
          <w:szCs w:val="24"/>
        </w:rPr>
        <w:t xml:space="preserve"> his refutation of the </w:t>
      </w:r>
      <w:r w:rsidRPr="00AF286F">
        <w:rPr>
          <w:rFonts w:hint="cs"/>
          <w:sz w:val="24"/>
          <w:szCs w:val="24"/>
          <w:rtl/>
        </w:rPr>
        <w:t>אין לפרש</w:t>
      </w:r>
      <w:r w:rsidR="00D1368B">
        <w:rPr>
          <w:sz w:val="24"/>
          <w:szCs w:val="24"/>
        </w:rPr>
        <w:t>,</w:t>
      </w:r>
      <w:r w:rsidRPr="00AF286F">
        <w:rPr>
          <w:sz w:val="24"/>
          <w:szCs w:val="24"/>
        </w:rPr>
        <w:t xml:space="preserve"> and continues</w:t>
      </w:r>
      <w:r w:rsidR="00094479" w:rsidRPr="00AF286F">
        <w:rPr>
          <w:sz w:val="24"/>
          <w:szCs w:val="24"/>
        </w:rPr>
        <w:t xml:space="preserve"> to</w:t>
      </w:r>
      <w:r w:rsidRPr="00AF286F">
        <w:rPr>
          <w:sz w:val="24"/>
          <w:szCs w:val="24"/>
        </w:rPr>
        <w:t xml:space="preserve"> explain the proof of </w:t>
      </w:r>
      <w:r w:rsidRPr="00AF286F">
        <w:rPr>
          <w:rFonts w:hint="cs"/>
          <w:sz w:val="24"/>
          <w:szCs w:val="24"/>
          <w:rtl/>
        </w:rPr>
        <w:t>אביי</w:t>
      </w:r>
      <w:r w:rsidRPr="00AF286F">
        <w:rPr>
          <w:sz w:val="24"/>
          <w:szCs w:val="24"/>
        </w:rPr>
        <w:t xml:space="preserve"> (according to </w:t>
      </w:r>
      <w:r w:rsidRPr="00AF286F">
        <w:rPr>
          <w:rFonts w:hint="cs"/>
          <w:sz w:val="24"/>
          <w:szCs w:val="24"/>
          <w:rtl/>
        </w:rPr>
        <w:t>פירוש התוס'</w:t>
      </w:r>
      <w:r w:rsidRPr="00AF286F">
        <w:rPr>
          <w:sz w:val="24"/>
          <w:szCs w:val="24"/>
        </w:rPr>
        <w:t>):</w:t>
      </w:r>
    </w:p>
    <w:p w:rsidR="00191660" w:rsidRPr="00AF286F" w:rsidRDefault="0062139F" w:rsidP="003B4713">
      <w:pPr>
        <w:widowControl w:val="0"/>
        <w:bidi/>
        <w:rPr>
          <w:rFonts w:ascii="David" w:hAnsi="David" w:cs="David"/>
          <w:b/>
          <w:bCs/>
          <w:sz w:val="28"/>
          <w:szCs w:val="28"/>
        </w:rPr>
      </w:pPr>
      <w:r w:rsidRPr="00AF286F">
        <w:rPr>
          <w:rFonts w:ascii="David" w:hAnsi="David" w:cs="David"/>
          <w:b/>
          <w:bCs/>
          <w:sz w:val="28"/>
          <w:szCs w:val="28"/>
          <w:rtl/>
        </w:rPr>
        <w:t>וכיון דלית בה דין חלוקה</w:t>
      </w:r>
      <w:r w:rsidR="00094479" w:rsidRPr="00AF286F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6"/>
      </w:r>
      <w:r w:rsidRPr="00AF286F">
        <w:rPr>
          <w:rFonts w:ascii="David" w:hAnsi="David" w:cs="David"/>
          <w:b/>
          <w:bCs/>
          <w:sz w:val="28"/>
          <w:szCs w:val="28"/>
          <w:rtl/>
        </w:rPr>
        <w:t xml:space="preserve"> אינו יכול לקדש בו אשה דהא בהא תליא</w:t>
      </w:r>
      <w:r w:rsidRPr="00AF286F">
        <w:rPr>
          <w:rFonts w:ascii="David" w:hAnsi="David" w:cs="David"/>
          <w:b/>
          <w:bCs/>
          <w:sz w:val="28"/>
          <w:szCs w:val="28"/>
        </w:rPr>
        <w:t>:</w:t>
      </w:r>
    </w:p>
    <w:p w:rsidR="00094479" w:rsidRPr="00094479" w:rsidRDefault="00094479" w:rsidP="003B4713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since there is no </w:t>
      </w:r>
      <w:r>
        <w:rPr>
          <w:rFonts w:hint="cs"/>
          <w:b/>
          <w:bCs/>
          <w:sz w:val="28"/>
          <w:szCs w:val="28"/>
          <w:rtl/>
        </w:rPr>
        <w:t>דין חלוקה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(for separate </w:t>
      </w:r>
      <w:r>
        <w:rPr>
          <w:rFonts w:hint="cs"/>
          <w:sz w:val="28"/>
          <w:szCs w:val="28"/>
          <w:rtl/>
        </w:rPr>
        <w:t>קרבנות</w:t>
      </w:r>
      <w:r>
        <w:rPr>
          <w:sz w:val="28"/>
          <w:szCs w:val="28"/>
        </w:rPr>
        <w:t xml:space="preserve">), the </w:t>
      </w:r>
      <w:r>
        <w:rPr>
          <w:rFonts w:hint="cs"/>
          <w:sz w:val="28"/>
          <w:szCs w:val="28"/>
          <w:rtl/>
        </w:rPr>
        <w:t>כהן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cannot be </w:t>
      </w:r>
      <w:r>
        <w:rPr>
          <w:rFonts w:hint="cs"/>
          <w:b/>
          <w:bCs/>
          <w:sz w:val="28"/>
          <w:szCs w:val="28"/>
          <w:rtl/>
        </w:rPr>
        <w:t>מקדש</w:t>
      </w:r>
      <w:r>
        <w:rPr>
          <w:b/>
          <w:bCs/>
          <w:sz w:val="28"/>
          <w:szCs w:val="28"/>
        </w:rPr>
        <w:t xml:space="preserve"> a woman with his </w:t>
      </w:r>
      <w:r>
        <w:rPr>
          <w:sz w:val="28"/>
          <w:szCs w:val="28"/>
        </w:rPr>
        <w:t xml:space="preserve">portion, </w:t>
      </w:r>
      <w:r>
        <w:rPr>
          <w:b/>
          <w:bCs/>
          <w:sz w:val="28"/>
          <w:szCs w:val="28"/>
        </w:rPr>
        <w:t>for one is dependent on the other.</w:t>
      </w:r>
    </w:p>
    <w:p w:rsidR="00097201" w:rsidRPr="00AF286F" w:rsidRDefault="00097201" w:rsidP="003B4713">
      <w:pPr>
        <w:widowControl w:val="0"/>
        <w:bidi/>
        <w:rPr>
          <w:b/>
          <w:bCs/>
          <w:sz w:val="24"/>
          <w:szCs w:val="24"/>
        </w:rPr>
      </w:pPr>
    </w:p>
    <w:p w:rsidR="00097201" w:rsidRPr="00097201" w:rsidRDefault="00097201" w:rsidP="003B4713">
      <w:pPr>
        <w:widowControl w:val="0"/>
        <w:rPr>
          <w:rFonts w:ascii="Aharoni" w:hAnsi="Aharoni" w:cs="Aharoni"/>
          <w:bCs/>
          <w:sz w:val="28"/>
          <w:szCs w:val="28"/>
          <w:u w:val="double"/>
        </w:rPr>
      </w:pPr>
      <w:r w:rsidRPr="00097201">
        <w:rPr>
          <w:rFonts w:ascii="Aharoni" w:hAnsi="Aharoni" w:cs="Aharoni"/>
          <w:bCs/>
          <w:sz w:val="28"/>
          <w:szCs w:val="28"/>
          <w:u w:val="double"/>
        </w:rPr>
        <w:t>Summary</w:t>
      </w:r>
    </w:p>
    <w:p w:rsidR="00097201" w:rsidRDefault="00AF286F" w:rsidP="00097201">
      <w:pPr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>
        <w:rPr>
          <w:rFonts w:hint="cs"/>
          <w:sz w:val="28"/>
          <w:szCs w:val="28"/>
          <w:rtl/>
        </w:rPr>
        <w:t>קרבן</w:t>
      </w:r>
      <w:r>
        <w:rPr>
          <w:sz w:val="28"/>
          <w:szCs w:val="28"/>
        </w:rPr>
        <w:t xml:space="preserve"> was divided (fairly); however </w:t>
      </w:r>
      <w:r>
        <w:rPr>
          <w:rFonts w:hint="cs"/>
          <w:sz w:val="28"/>
          <w:szCs w:val="28"/>
          <w:rtl/>
        </w:rPr>
        <w:t>כהנים</w:t>
      </w:r>
      <w:r>
        <w:rPr>
          <w:sz w:val="28"/>
          <w:szCs w:val="28"/>
        </w:rPr>
        <w:t xml:space="preserve"> could not exchange their portions for their friends</w:t>
      </w:r>
      <w:r w:rsidR="003B4713">
        <w:rPr>
          <w:sz w:val="28"/>
          <w:szCs w:val="28"/>
        </w:rPr>
        <w:t>’</w:t>
      </w:r>
      <w:r>
        <w:rPr>
          <w:sz w:val="28"/>
          <w:szCs w:val="28"/>
        </w:rPr>
        <w:t xml:space="preserve"> portions in other </w:t>
      </w:r>
      <w:r>
        <w:rPr>
          <w:rFonts w:hint="cs"/>
          <w:sz w:val="28"/>
          <w:szCs w:val="28"/>
          <w:rtl/>
        </w:rPr>
        <w:t>קרבנות</w:t>
      </w:r>
      <w:r>
        <w:rPr>
          <w:sz w:val="28"/>
          <w:szCs w:val="28"/>
        </w:rPr>
        <w:t xml:space="preserve">, proving that </w:t>
      </w:r>
      <w:r>
        <w:rPr>
          <w:rFonts w:hint="cs"/>
          <w:sz w:val="28"/>
          <w:szCs w:val="28"/>
          <w:rtl/>
        </w:rPr>
        <w:t>המקדש בחלקו</w:t>
      </w:r>
      <w:r>
        <w:rPr>
          <w:sz w:val="28"/>
          <w:szCs w:val="28"/>
        </w:rPr>
        <w:t xml:space="preserve"> is not </w:t>
      </w:r>
      <w:r>
        <w:rPr>
          <w:rFonts w:hint="cs"/>
          <w:sz w:val="28"/>
          <w:szCs w:val="28"/>
          <w:rtl/>
        </w:rPr>
        <w:t>מקודשת</w:t>
      </w:r>
      <w:r>
        <w:rPr>
          <w:sz w:val="28"/>
          <w:szCs w:val="28"/>
        </w:rPr>
        <w:t>.</w:t>
      </w:r>
    </w:p>
    <w:p w:rsidR="00097201" w:rsidRPr="00AF286F" w:rsidRDefault="00097201" w:rsidP="00097201">
      <w:pPr>
        <w:rPr>
          <w:sz w:val="24"/>
          <w:szCs w:val="24"/>
        </w:rPr>
      </w:pPr>
      <w:bookmarkStart w:id="0" w:name="_GoBack"/>
      <w:bookmarkEnd w:id="0"/>
    </w:p>
    <w:p w:rsidR="00097201" w:rsidRPr="00097201" w:rsidRDefault="00097201" w:rsidP="00097201">
      <w:pPr>
        <w:rPr>
          <w:rFonts w:ascii="Aharoni" w:hAnsi="Aharoni" w:cs="Aharoni"/>
          <w:bCs/>
          <w:sz w:val="28"/>
          <w:szCs w:val="28"/>
          <w:u w:val="double"/>
        </w:rPr>
      </w:pPr>
      <w:r w:rsidRPr="00097201">
        <w:rPr>
          <w:rFonts w:ascii="Aharoni" w:hAnsi="Aharoni" w:cs="Aharoni"/>
          <w:bCs/>
          <w:sz w:val="28"/>
          <w:szCs w:val="28"/>
          <w:u w:val="double"/>
        </w:rPr>
        <w:t>Thinking it over</w:t>
      </w:r>
    </w:p>
    <w:p w:rsidR="00097201" w:rsidRPr="00097201" w:rsidRDefault="004260A6" w:rsidP="0009720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maintains that in one </w:t>
      </w:r>
      <w:r>
        <w:rPr>
          <w:rFonts w:hint="cs"/>
          <w:sz w:val="28"/>
          <w:szCs w:val="28"/>
          <w:rtl/>
        </w:rPr>
        <w:t>קרבן</w:t>
      </w:r>
      <w:r w:rsidR="00D1368B">
        <w:rPr>
          <w:sz w:val="28"/>
          <w:szCs w:val="28"/>
        </w:rPr>
        <w:t xml:space="preserve"> they were </w:t>
      </w:r>
      <w:r w:rsidR="00D1368B">
        <w:rPr>
          <w:rFonts w:hint="cs"/>
          <w:sz w:val="28"/>
          <w:szCs w:val="28"/>
          <w:rtl/>
        </w:rPr>
        <w:t>חולקין</w:t>
      </w:r>
      <w:r w:rsidR="00D1368B">
        <w:rPr>
          <w:sz w:val="28"/>
          <w:szCs w:val="28"/>
        </w:rPr>
        <w:t>.</w:t>
      </w:r>
      <w:r w:rsidR="00D1368B">
        <w:rPr>
          <w:rStyle w:val="FootnoteReference"/>
          <w:sz w:val="28"/>
          <w:szCs w:val="28"/>
        </w:rPr>
        <w:footnoteReference w:id="7"/>
      </w:r>
      <w:r w:rsidR="00D1368B">
        <w:rPr>
          <w:sz w:val="28"/>
          <w:szCs w:val="28"/>
        </w:rPr>
        <w:t xml:space="preserve"> Shortly the </w:t>
      </w:r>
      <w:r w:rsidR="00D1368B">
        <w:rPr>
          <w:rFonts w:hint="cs"/>
          <w:sz w:val="28"/>
          <w:szCs w:val="28"/>
          <w:rtl/>
        </w:rPr>
        <w:t>גמרא</w:t>
      </w:r>
      <w:r w:rsidR="00D1368B">
        <w:rPr>
          <w:sz w:val="28"/>
          <w:szCs w:val="28"/>
        </w:rPr>
        <w:t xml:space="preserve"> attempts to refute the opinion of </w:t>
      </w:r>
      <w:r w:rsidR="00D1368B">
        <w:rPr>
          <w:rFonts w:hint="cs"/>
          <w:sz w:val="28"/>
          <w:szCs w:val="28"/>
          <w:rtl/>
        </w:rPr>
        <w:t>אביי</w:t>
      </w:r>
      <w:r w:rsidR="00D1368B">
        <w:rPr>
          <w:sz w:val="28"/>
          <w:szCs w:val="28"/>
        </w:rPr>
        <w:t xml:space="preserve"> by citing a </w:t>
      </w:r>
      <w:r w:rsidR="00D1368B">
        <w:rPr>
          <w:rFonts w:hint="cs"/>
          <w:sz w:val="28"/>
          <w:szCs w:val="28"/>
          <w:rtl/>
        </w:rPr>
        <w:t>ברייתא</w:t>
      </w:r>
      <w:r w:rsidR="00D1368B">
        <w:rPr>
          <w:sz w:val="28"/>
          <w:szCs w:val="28"/>
        </w:rPr>
        <w:t xml:space="preserve"> which states </w:t>
      </w:r>
      <w:r w:rsidR="00D1368B">
        <w:rPr>
          <w:rFonts w:hint="cs"/>
          <w:sz w:val="28"/>
          <w:szCs w:val="28"/>
          <w:rtl/>
        </w:rPr>
        <w:t>והגרגרים חולקים</w:t>
      </w:r>
      <w:r w:rsidR="00D1368B">
        <w:rPr>
          <w:sz w:val="28"/>
          <w:szCs w:val="28"/>
        </w:rPr>
        <w:t xml:space="preserve"> indicating that there is a </w:t>
      </w:r>
      <w:r w:rsidR="00D1368B">
        <w:rPr>
          <w:rFonts w:hint="cs"/>
          <w:sz w:val="28"/>
          <w:szCs w:val="28"/>
          <w:rtl/>
        </w:rPr>
        <w:t>דין חלוקה</w:t>
      </w:r>
      <w:r w:rsidR="00D1368B">
        <w:rPr>
          <w:sz w:val="28"/>
          <w:szCs w:val="28"/>
        </w:rPr>
        <w:t xml:space="preserve"> by </w:t>
      </w:r>
      <w:r w:rsidR="00D1368B">
        <w:rPr>
          <w:rFonts w:hint="cs"/>
          <w:sz w:val="28"/>
          <w:szCs w:val="28"/>
          <w:rtl/>
        </w:rPr>
        <w:t>קדשים</w:t>
      </w:r>
      <w:r w:rsidR="00D1368B">
        <w:rPr>
          <w:sz w:val="28"/>
          <w:szCs w:val="28"/>
        </w:rPr>
        <w:t xml:space="preserve"> (not like </w:t>
      </w:r>
      <w:r w:rsidR="00D1368B">
        <w:rPr>
          <w:rFonts w:hint="cs"/>
          <w:sz w:val="28"/>
          <w:szCs w:val="28"/>
          <w:rtl/>
        </w:rPr>
        <w:t>אביי</w:t>
      </w:r>
      <w:r w:rsidR="00D1368B">
        <w:rPr>
          <w:sz w:val="28"/>
          <w:szCs w:val="28"/>
        </w:rPr>
        <w:t xml:space="preserve">). However what is the proof, since we can say that </w:t>
      </w:r>
      <w:r w:rsidR="00D1368B">
        <w:rPr>
          <w:rFonts w:hint="cs"/>
          <w:sz w:val="28"/>
          <w:szCs w:val="28"/>
          <w:rtl/>
        </w:rPr>
        <w:t>הגרגרים חולקים</w:t>
      </w:r>
      <w:r w:rsidR="00D1368B">
        <w:rPr>
          <w:sz w:val="28"/>
          <w:szCs w:val="28"/>
        </w:rPr>
        <w:t xml:space="preserve"> is discussing a </w:t>
      </w:r>
      <w:r w:rsidR="00D1368B">
        <w:rPr>
          <w:rFonts w:hint="cs"/>
          <w:sz w:val="28"/>
          <w:szCs w:val="28"/>
          <w:rtl/>
        </w:rPr>
        <w:t>חלוקה</w:t>
      </w:r>
      <w:r w:rsidR="00D1368B">
        <w:rPr>
          <w:sz w:val="28"/>
          <w:szCs w:val="28"/>
        </w:rPr>
        <w:t xml:space="preserve"> in one </w:t>
      </w:r>
      <w:r w:rsidR="00D1368B">
        <w:rPr>
          <w:rFonts w:hint="cs"/>
          <w:sz w:val="28"/>
          <w:szCs w:val="28"/>
          <w:rtl/>
        </w:rPr>
        <w:t>קרבן</w:t>
      </w:r>
      <w:r w:rsidR="00D1368B">
        <w:rPr>
          <w:sz w:val="28"/>
          <w:szCs w:val="28"/>
        </w:rPr>
        <w:t xml:space="preserve"> (in the </w:t>
      </w:r>
      <w:r w:rsidR="00D1368B">
        <w:rPr>
          <w:rFonts w:hint="cs"/>
          <w:sz w:val="28"/>
          <w:szCs w:val="28"/>
          <w:rtl/>
        </w:rPr>
        <w:t>לחם הפנים</w:t>
      </w:r>
      <w:r w:rsidR="00D1368B">
        <w:rPr>
          <w:sz w:val="28"/>
          <w:szCs w:val="28"/>
        </w:rPr>
        <w:t xml:space="preserve">), but not by different </w:t>
      </w:r>
      <w:r w:rsidR="00D1368B">
        <w:rPr>
          <w:rFonts w:hint="cs"/>
          <w:sz w:val="28"/>
          <w:szCs w:val="28"/>
          <w:rtl/>
        </w:rPr>
        <w:t>קרבנות</w:t>
      </w:r>
      <w:r w:rsidR="00D1368B">
        <w:rPr>
          <w:sz w:val="28"/>
          <w:szCs w:val="28"/>
        </w:rPr>
        <w:t>?!</w:t>
      </w:r>
      <w:r w:rsidR="00D1368B">
        <w:rPr>
          <w:rStyle w:val="FootnoteReference"/>
          <w:sz w:val="28"/>
          <w:szCs w:val="28"/>
        </w:rPr>
        <w:footnoteReference w:id="8"/>
      </w:r>
      <w:r w:rsidR="00D1368B">
        <w:rPr>
          <w:sz w:val="28"/>
          <w:szCs w:val="28"/>
        </w:rPr>
        <w:t xml:space="preserve">  </w:t>
      </w:r>
    </w:p>
    <w:sectPr w:rsidR="00097201" w:rsidRPr="000972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07" w:rsidRDefault="009E6507" w:rsidP="00097201">
      <w:pPr>
        <w:spacing w:line="240" w:lineRule="auto"/>
      </w:pPr>
      <w:r>
        <w:separator/>
      </w:r>
    </w:p>
  </w:endnote>
  <w:endnote w:type="continuationSeparator" w:id="0">
    <w:p w:rsidR="009E6507" w:rsidRDefault="009E6507" w:rsidP="0009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45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0A6" w:rsidRDefault="004260A6">
        <w:pPr>
          <w:pStyle w:val="Footer"/>
          <w:jc w:val="center"/>
          <w:rPr>
            <w:noProof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4260A6" w:rsidRDefault="004260A6">
        <w:pPr>
          <w:pStyle w:val="Footer"/>
          <w:jc w:val="center"/>
        </w:pPr>
        <w:r>
          <w:rPr>
            <w:noProof/>
            <w:sz w:val="16"/>
            <w:szCs w:val="16"/>
          </w:rPr>
          <w:t>TosfosInEnglish.com</w:t>
        </w:r>
      </w:p>
    </w:sdtContent>
  </w:sdt>
  <w:p w:rsidR="004260A6" w:rsidRDefault="00426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07" w:rsidRDefault="009E6507" w:rsidP="00097201">
      <w:pPr>
        <w:spacing w:line="240" w:lineRule="auto"/>
      </w:pPr>
      <w:r>
        <w:separator/>
      </w:r>
    </w:p>
  </w:footnote>
  <w:footnote w:type="continuationSeparator" w:id="0">
    <w:p w:rsidR="009E6507" w:rsidRDefault="009E6507" w:rsidP="00097201">
      <w:pPr>
        <w:spacing w:line="240" w:lineRule="auto"/>
      </w:pPr>
      <w:r>
        <w:continuationSeparator/>
      </w:r>
    </w:p>
  </w:footnote>
  <w:footnote w:id="1">
    <w:p w:rsidR="008B7C8E" w:rsidRDefault="008B7C8E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תוספות</w:t>
      </w:r>
      <w:r>
        <w:t xml:space="preserve"> is rejecting the explanation of the </w:t>
      </w:r>
      <w:r>
        <w:rPr>
          <w:rFonts w:hint="cs"/>
          <w:rtl/>
        </w:rPr>
        <w:t>אין לפרש</w:t>
      </w:r>
      <w:r>
        <w:t xml:space="preserve"> mentioned shortly</w:t>
      </w:r>
      <w:r w:rsidR="00AF286F">
        <w:t xml:space="preserve"> (see footnote # 3)</w:t>
      </w:r>
      <w:r>
        <w:t>.</w:t>
      </w:r>
    </w:p>
  </w:footnote>
  <w:footnote w:id="2">
    <w:p w:rsidR="00D60E63" w:rsidRDefault="00D60E63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If one </w:t>
      </w:r>
      <w:r>
        <w:rPr>
          <w:rFonts w:hint="cs"/>
          <w:rtl/>
        </w:rPr>
        <w:t>כהן</w:t>
      </w:r>
      <w:r>
        <w:t xml:space="preserve"> received a </w:t>
      </w:r>
      <w:r>
        <w:rPr>
          <w:rFonts w:hint="cs"/>
          <w:rtl/>
        </w:rPr>
        <w:t>כזית</w:t>
      </w:r>
      <w:r>
        <w:t xml:space="preserve"> (for instance) in one </w:t>
      </w:r>
      <w:r>
        <w:rPr>
          <w:rFonts w:hint="cs"/>
          <w:rtl/>
        </w:rPr>
        <w:t>קרבן</w:t>
      </w:r>
      <w:r w:rsidR="00AF286F">
        <w:t>,</w:t>
      </w:r>
      <w:r>
        <w:t xml:space="preserve"> he cannot tell his fellow </w:t>
      </w:r>
      <w:r>
        <w:rPr>
          <w:rFonts w:hint="cs"/>
          <w:rtl/>
        </w:rPr>
        <w:t>כהן</w:t>
      </w:r>
      <w:r>
        <w:t xml:space="preserve">, you can have my </w:t>
      </w:r>
      <w:r>
        <w:rPr>
          <w:rFonts w:hint="cs"/>
          <w:rtl/>
        </w:rPr>
        <w:t>כזית</w:t>
      </w:r>
      <w:r>
        <w:t xml:space="preserve"> in this </w:t>
      </w:r>
      <w:r>
        <w:rPr>
          <w:rFonts w:hint="cs"/>
          <w:rtl/>
        </w:rPr>
        <w:t>קרבן</w:t>
      </w:r>
      <w:r>
        <w:t xml:space="preserve"> (so his friend will receive two </w:t>
      </w:r>
      <w:r>
        <w:rPr>
          <w:rFonts w:hint="cs"/>
          <w:rtl/>
        </w:rPr>
        <w:t>כזיתים</w:t>
      </w:r>
      <w:r>
        <w:t xml:space="preserve"> of this </w:t>
      </w:r>
      <w:r>
        <w:rPr>
          <w:rFonts w:hint="cs"/>
          <w:rtl/>
        </w:rPr>
        <w:t>קרבן</w:t>
      </w:r>
      <w:r>
        <w:t xml:space="preserve">), and I will take your </w:t>
      </w:r>
      <w:r>
        <w:rPr>
          <w:rFonts w:hint="cs"/>
          <w:rtl/>
        </w:rPr>
        <w:t>כזית</w:t>
      </w:r>
      <w:r>
        <w:t xml:space="preserve"> in the other </w:t>
      </w:r>
      <w:r>
        <w:rPr>
          <w:rFonts w:hint="cs"/>
          <w:rtl/>
        </w:rPr>
        <w:t>קרבן</w:t>
      </w:r>
      <w:r>
        <w:t xml:space="preserve"> (so each </w:t>
      </w:r>
      <w:r>
        <w:rPr>
          <w:rFonts w:hint="cs"/>
          <w:rtl/>
        </w:rPr>
        <w:t>כהן</w:t>
      </w:r>
      <w:r>
        <w:t xml:space="preserve"> will have two </w:t>
      </w:r>
      <w:r>
        <w:rPr>
          <w:rFonts w:hint="cs"/>
          <w:rtl/>
        </w:rPr>
        <w:t>זיתים</w:t>
      </w:r>
      <w:r>
        <w:t xml:space="preserve"> in one </w:t>
      </w:r>
      <w:r>
        <w:rPr>
          <w:rFonts w:hint="cs"/>
          <w:rtl/>
        </w:rPr>
        <w:t>קרבן</w:t>
      </w:r>
      <w:r>
        <w:t xml:space="preserve">, instead of one </w:t>
      </w:r>
      <w:r>
        <w:rPr>
          <w:rFonts w:hint="cs"/>
          <w:rtl/>
        </w:rPr>
        <w:t>זית</w:t>
      </w:r>
      <w:r>
        <w:t xml:space="preserve"> in each </w:t>
      </w:r>
      <w:r>
        <w:rPr>
          <w:rFonts w:hint="cs"/>
          <w:rtl/>
        </w:rPr>
        <w:t>קרבן</w:t>
      </w:r>
      <w:r w:rsidR="00AF286F">
        <w:t>)</w:t>
      </w:r>
      <w:r>
        <w:t>. It would seem to be more practical</w:t>
      </w:r>
      <w:r w:rsidR="00AF286F">
        <w:t xml:space="preserve"> to have one large piece than many small pieces</w:t>
      </w:r>
      <w:r>
        <w:t xml:space="preserve">. The </w:t>
      </w:r>
      <w:r>
        <w:rPr>
          <w:rFonts w:hint="cs"/>
          <w:rtl/>
        </w:rPr>
        <w:t>ברייתא</w:t>
      </w:r>
      <w:r>
        <w:t xml:space="preserve"> teaches us that this is not permitted; </w:t>
      </w:r>
      <w:r>
        <w:rPr>
          <w:rFonts w:hint="cs"/>
          <w:rtl/>
        </w:rPr>
        <w:t>לית בה דין חלוקה כלל</w:t>
      </w:r>
      <w:r>
        <w:t>.</w:t>
      </w:r>
    </w:p>
  </w:footnote>
  <w:footnote w:id="3">
    <w:p w:rsidR="00D60E63" w:rsidRPr="00B37E48" w:rsidRDefault="00D60E63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</w:t>
      </w:r>
      <w:r>
        <w:rPr>
          <w:rFonts w:hint="cs"/>
          <w:rtl/>
        </w:rPr>
        <w:t>אין לפרש</w:t>
      </w:r>
      <w:r>
        <w:t xml:space="preserve"> prefers to assume that </w:t>
      </w:r>
      <w:r>
        <w:rPr>
          <w:rFonts w:hint="cs"/>
          <w:rtl/>
        </w:rPr>
        <w:t>אין דין חלוקה כלל</w:t>
      </w:r>
      <w:r>
        <w:t xml:space="preserve"> indicates that each </w:t>
      </w:r>
      <w:r>
        <w:rPr>
          <w:rFonts w:hint="cs"/>
          <w:rtl/>
        </w:rPr>
        <w:t>קרבן</w:t>
      </w:r>
      <w:r>
        <w:t xml:space="preserve"> was not divided equally, but rather it was divided randomly (some receiving a larger or smaller portion than others</w:t>
      </w:r>
      <w:r w:rsidR="00B37E48">
        <w:t>),</w:t>
      </w:r>
      <w:r>
        <w:rPr>
          <w:rFonts w:hint="cs"/>
          <w:rtl/>
        </w:rPr>
        <w:t xml:space="preserve"> </w:t>
      </w:r>
      <w:r>
        <w:t xml:space="preserve">or each </w:t>
      </w:r>
      <w:r>
        <w:rPr>
          <w:rFonts w:hint="cs"/>
          <w:rtl/>
        </w:rPr>
        <w:t>כהן</w:t>
      </w:r>
      <w:r>
        <w:t xml:space="preserve"> </w:t>
      </w:r>
      <w:r w:rsidR="00B37E48">
        <w:t xml:space="preserve">‘grabbed’ whatever he could from the </w:t>
      </w:r>
      <w:r w:rsidR="00B37E48">
        <w:rPr>
          <w:rFonts w:hint="cs"/>
          <w:rtl/>
        </w:rPr>
        <w:t>קרבן</w:t>
      </w:r>
      <w:r w:rsidR="00B37E48">
        <w:t xml:space="preserve">. The advantage of the interpretation of the </w:t>
      </w:r>
      <w:r w:rsidR="00B37E48">
        <w:rPr>
          <w:rFonts w:hint="cs"/>
          <w:rtl/>
        </w:rPr>
        <w:t>אין לפרש</w:t>
      </w:r>
      <w:r w:rsidR="00B37E48">
        <w:t xml:space="preserve"> is that it would fit better in the words </w:t>
      </w:r>
      <w:r w:rsidR="00B37E48">
        <w:rPr>
          <w:rFonts w:hint="cs"/>
          <w:rtl/>
        </w:rPr>
        <w:t xml:space="preserve">דלית בה דין חלוקה </w:t>
      </w:r>
      <w:r w:rsidR="00B37E48">
        <w:rPr>
          <w:rFonts w:hint="cs"/>
          <w:u w:val="single"/>
          <w:rtl/>
        </w:rPr>
        <w:t>כלל</w:t>
      </w:r>
      <w:r w:rsidR="00B37E48">
        <w:t>, and additionally it would strengthen s</w:t>
      </w:r>
      <w:r w:rsidR="00B37E48">
        <w:rPr>
          <w:rFonts w:hint="cs"/>
          <w:rtl/>
        </w:rPr>
        <w:t>אביי'</w:t>
      </w:r>
      <w:r w:rsidR="00B37E48">
        <w:t xml:space="preserve"> proof, for it would clearly show that the </w:t>
      </w:r>
      <w:r w:rsidR="00B37E48">
        <w:rPr>
          <w:rFonts w:hint="cs"/>
          <w:rtl/>
        </w:rPr>
        <w:t>כהנים</w:t>
      </w:r>
      <w:r w:rsidR="00B37E48">
        <w:t xml:space="preserve"> are merely guests by </w:t>
      </w:r>
      <w:r w:rsidR="00B37E48">
        <w:rPr>
          <w:rFonts w:hint="cs"/>
          <w:rtl/>
        </w:rPr>
        <w:t>שלחן גבוה</w:t>
      </w:r>
      <w:r w:rsidR="00B37E48">
        <w:t xml:space="preserve">, for their portions are divided randomly, they have no right to even an equal share; indicating that it is not their money but rather </w:t>
      </w:r>
      <w:r w:rsidR="00B37E48">
        <w:rPr>
          <w:rFonts w:hint="cs"/>
          <w:rtl/>
        </w:rPr>
        <w:t>משלחן גבוה קזכו</w:t>
      </w:r>
      <w:r w:rsidR="00B37E48">
        <w:t xml:space="preserve">. Nonetheless </w:t>
      </w:r>
      <w:r w:rsidR="00B37E48">
        <w:rPr>
          <w:rFonts w:hint="cs"/>
          <w:rtl/>
        </w:rPr>
        <w:t>תוספות</w:t>
      </w:r>
      <w:r w:rsidR="00B37E48">
        <w:t xml:space="preserve"> negates this view because of the upcoming difficulties.</w:t>
      </w:r>
    </w:p>
  </w:footnote>
  <w:footnote w:id="4">
    <w:p w:rsidR="00952336" w:rsidRDefault="00952336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Presumably this means that if (for instance) there was a hundred pounds of meat from a </w:t>
      </w:r>
      <w:r>
        <w:rPr>
          <w:rFonts w:hint="cs"/>
          <w:rtl/>
        </w:rPr>
        <w:t>קרבן</w:t>
      </w:r>
      <w:r>
        <w:t xml:space="preserve">, and a hundred </w:t>
      </w:r>
      <w:r>
        <w:rPr>
          <w:rFonts w:hint="cs"/>
          <w:rtl/>
        </w:rPr>
        <w:t>כהנים</w:t>
      </w:r>
      <w:r>
        <w:t xml:space="preserve">, so they divided the meat into one hundred one pound pieces, and they cast lots, which </w:t>
      </w:r>
      <w:r>
        <w:rPr>
          <w:rFonts w:hint="cs"/>
          <w:rtl/>
        </w:rPr>
        <w:t>כהן</w:t>
      </w:r>
      <w:r>
        <w:t xml:space="preserve"> would receive each pound, indicating that there was no random distribution and certainly no ‘grabbing’ (see footnote # 3), proving that there was </w:t>
      </w:r>
      <w:r>
        <w:rPr>
          <w:rFonts w:hint="cs"/>
          <w:rtl/>
        </w:rPr>
        <w:t>חלוקה בקדשים מיניה וביה</w:t>
      </w:r>
      <w:r>
        <w:t>.</w:t>
      </w:r>
      <w:r w:rsidR="00D1368B">
        <w:t xml:space="preserve"> See ‘Thinking it over’.</w:t>
      </w:r>
    </w:p>
  </w:footnote>
  <w:footnote w:id="5">
    <w:p w:rsidR="00952336" w:rsidRDefault="00952336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fact that the </w:t>
      </w:r>
      <w:r>
        <w:rPr>
          <w:rFonts w:hint="cs"/>
          <w:rtl/>
        </w:rPr>
        <w:t>כהן</w:t>
      </w:r>
      <w:r>
        <w:t xml:space="preserve"> said </w:t>
      </w:r>
      <w:r>
        <w:rPr>
          <w:rFonts w:hint="cs"/>
          <w:rtl/>
        </w:rPr>
        <w:t>הגיעני (כפול)</w:t>
      </w:r>
      <w:r>
        <w:t xml:space="preserve"> and not </w:t>
      </w:r>
      <w:r>
        <w:rPr>
          <w:rFonts w:hint="cs"/>
          <w:rtl/>
        </w:rPr>
        <w:t>חטפתי (כפול)</w:t>
      </w:r>
      <w:r>
        <w:t xml:space="preserve"> indicates that it was divided equally.</w:t>
      </w:r>
    </w:p>
  </w:footnote>
  <w:footnote w:id="6">
    <w:p w:rsidR="00094479" w:rsidRDefault="00094479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fact there is no </w:t>
      </w:r>
      <w:r>
        <w:rPr>
          <w:rFonts w:hint="cs"/>
          <w:rtl/>
        </w:rPr>
        <w:t>חלוקה</w:t>
      </w:r>
      <w:r>
        <w:t xml:space="preserve"> (of </w:t>
      </w:r>
      <w:r>
        <w:rPr>
          <w:rFonts w:hint="cs"/>
          <w:rtl/>
        </w:rPr>
        <w:t>קרבן כנגד קרבן</w:t>
      </w:r>
      <w:r>
        <w:t xml:space="preserve">) proves that it is not </w:t>
      </w:r>
      <w:r>
        <w:rPr>
          <w:rFonts w:hint="cs"/>
          <w:rtl/>
        </w:rPr>
        <w:t>ממון כהן</w:t>
      </w:r>
      <w:r>
        <w:t xml:space="preserve">, for if his portion belongs to him there is no logical reason why he cannot exchange it for his friend’s portion in another </w:t>
      </w:r>
      <w:r>
        <w:rPr>
          <w:rFonts w:hint="cs"/>
          <w:rtl/>
        </w:rPr>
        <w:t>קרבן</w:t>
      </w:r>
      <w:r>
        <w:t>. Once we ascertain that it is no</w:t>
      </w:r>
      <w:r w:rsidR="00AF286F">
        <w:t>t</w:t>
      </w:r>
      <w:r>
        <w:t xml:space="preserve"> </w:t>
      </w:r>
      <w:r>
        <w:rPr>
          <w:rFonts w:hint="cs"/>
          <w:rtl/>
        </w:rPr>
        <w:t>ממון כהן</w:t>
      </w:r>
      <w:r>
        <w:t xml:space="preserve">, it is understood that he cannot be </w:t>
      </w:r>
      <w:r>
        <w:rPr>
          <w:rFonts w:hint="cs"/>
          <w:rtl/>
        </w:rPr>
        <w:t>מקדש</w:t>
      </w:r>
      <w:r>
        <w:t xml:space="preserve"> a woman with his portion</w:t>
      </w:r>
      <w:r w:rsidR="00AF286F">
        <w:t>;</w:t>
      </w:r>
      <w:r>
        <w:t xml:space="preserve"> since it does not belong to him, he is not giving her anything (of his).</w:t>
      </w:r>
      <w:r w:rsidR="00AF286F">
        <w:t xml:space="preserve"> [It is not necessary to assume the view of the </w:t>
      </w:r>
      <w:r w:rsidR="00AF286F">
        <w:rPr>
          <w:rFonts w:hint="cs"/>
          <w:rtl/>
        </w:rPr>
        <w:t>אין לפרש</w:t>
      </w:r>
      <w:r w:rsidR="00AF286F">
        <w:t xml:space="preserve"> (see footnote # 3) for </w:t>
      </w:r>
      <w:r w:rsidR="00AF286F">
        <w:rPr>
          <w:rFonts w:hint="cs"/>
          <w:rtl/>
        </w:rPr>
        <w:t>אביי</w:t>
      </w:r>
      <w:r w:rsidR="00AF286F">
        <w:t xml:space="preserve"> to prove his point from the </w:t>
      </w:r>
      <w:r w:rsidR="00AF286F">
        <w:rPr>
          <w:rFonts w:hint="cs"/>
          <w:rtl/>
        </w:rPr>
        <w:t>ברייתא</w:t>
      </w:r>
      <w:r w:rsidR="00AF286F">
        <w:t>.]</w:t>
      </w:r>
    </w:p>
  </w:footnote>
  <w:footnote w:id="7">
    <w:p w:rsidR="00D1368B" w:rsidRDefault="00D1368B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footnote # 4.</w:t>
      </w:r>
    </w:p>
  </w:footnote>
  <w:footnote w:id="8">
    <w:p w:rsidR="00D1368B" w:rsidRDefault="00D1368B" w:rsidP="00D1368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אוצר מפרשי התלמוד</w:t>
      </w:r>
      <w:r>
        <w:t xml:space="preserve"> # 116.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01" w:rsidRPr="00097201" w:rsidRDefault="00097201" w:rsidP="00097201">
    <w:pPr>
      <w:pStyle w:val="Header"/>
      <w:bidi/>
      <w:rPr>
        <w:sz w:val="24"/>
        <w:szCs w:val="24"/>
      </w:rPr>
    </w:pPr>
    <w:r>
      <w:rPr>
        <w:rFonts w:hint="cs"/>
        <w:sz w:val="24"/>
        <w:szCs w:val="24"/>
        <w:rtl/>
      </w:rPr>
      <w:t xml:space="preserve">בס"ד. קידושין </w:t>
    </w:r>
    <w:proofErr w:type="spellStart"/>
    <w:r>
      <w:rPr>
        <w:rFonts w:hint="cs"/>
        <w:sz w:val="24"/>
        <w:szCs w:val="24"/>
        <w:rtl/>
      </w:rPr>
      <w:t>נג,א</w:t>
    </w:r>
    <w:proofErr w:type="spellEnd"/>
    <w:r>
      <w:rPr>
        <w:rFonts w:hint="cs"/>
        <w:sz w:val="24"/>
        <w:szCs w:val="24"/>
        <w:rtl/>
      </w:rPr>
      <w:t xml:space="preserve"> תוס' ד"ה וקאמר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F"/>
    <w:rsid w:val="00094479"/>
    <w:rsid w:val="00097201"/>
    <w:rsid w:val="00191660"/>
    <w:rsid w:val="003B4713"/>
    <w:rsid w:val="004260A6"/>
    <w:rsid w:val="0056656E"/>
    <w:rsid w:val="0062139F"/>
    <w:rsid w:val="008B7C8E"/>
    <w:rsid w:val="00905DD1"/>
    <w:rsid w:val="00952336"/>
    <w:rsid w:val="009E6507"/>
    <w:rsid w:val="00AF286F"/>
    <w:rsid w:val="00B37E48"/>
    <w:rsid w:val="00D1368B"/>
    <w:rsid w:val="00D60E63"/>
    <w:rsid w:val="00F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4FEB"/>
  <w15:chartTrackingRefBased/>
  <w15:docId w15:val="{82102C5D-4844-4265-AEF0-0EA7464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2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01"/>
  </w:style>
  <w:style w:type="paragraph" w:styleId="Footer">
    <w:name w:val="footer"/>
    <w:basedOn w:val="Normal"/>
    <w:link w:val="FooterChar"/>
    <w:uiPriority w:val="99"/>
    <w:unhideWhenUsed/>
    <w:rsid w:val="000972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01"/>
  </w:style>
  <w:style w:type="paragraph" w:styleId="FootnoteText">
    <w:name w:val="footnote text"/>
    <w:basedOn w:val="Normal"/>
    <w:link w:val="FootnoteTextChar"/>
    <w:uiPriority w:val="99"/>
    <w:semiHidden/>
    <w:unhideWhenUsed/>
    <w:rsid w:val="008B7C8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C8E"/>
  </w:style>
  <w:style w:type="character" w:styleId="FootnoteReference">
    <w:name w:val="footnote reference"/>
    <w:basedOn w:val="DefaultParagraphFont"/>
    <w:uiPriority w:val="99"/>
    <w:semiHidden/>
    <w:unhideWhenUsed/>
    <w:rsid w:val="008B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Piekarski</dc:creator>
  <cp:keywords/>
  <dc:description/>
  <cp:lastModifiedBy>Ephraim Piekarski</cp:lastModifiedBy>
  <cp:revision>3</cp:revision>
  <dcterms:created xsi:type="dcterms:W3CDTF">2019-05-02T18:19:00Z</dcterms:created>
  <dcterms:modified xsi:type="dcterms:W3CDTF">2019-05-30T17:28:00Z</dcterms:modified>
</cp:coreProperties>
</file>